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1724D" w14:textId="50712817" w:rsidR="00376D28" w:rsidRPr="00803FA8" w:rsidRDefault="00376D28" w:rsidP="00376D2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#120</w:t>
      </w:r>
      <w:r w:rsidRPr="007D3E81">
        <w:rPr>
          <w:rFonts w:cs="Arial"/>
          <w:b/>
          <w:sz w:val="24"/>
          <w:szCs w:val="24"/>
        </w:rPr>
        <w:tab/>
      </w:r>
      <w:r w:rsidR="00803FA8" w:rsidRPr="00803FA8">
        <w:rPr>
          <w:rFonts w:cs="Arial"/>
          <w:b/>
          <w:sz w:val="24"/>
          <w:szCs w:val="24"/>
        </w:rPr>
        <w:t>R3-232981</w:t>
      </w:r>
    </w:p>
    <w:p w14:paraId="1DDAB4F0" w14:textId="77777777" w:rsidR="00376D28" w:rsidRDefault="00376D28" w:rsidP="00376D28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0717E73E" w14:textId="77777777" w:rsidR="00CD4C7B" w:rsidRPr="00376D28" w:rsidRDefault="00CD4C7B" w:rsidP="00CD4C7B">
      <w:pPr>
        <w:pStyle w:val="a3"/>
        <w:rPr>
          <w:bCs/>
          <w:noProof w:val="0"/>
          <w:sz w:val="24"/>
        </w:rPr>
      </w:pPr>
    </w:p>
    <w:p w14:paraId="3B0EF5F6" w14:textId="760ACE49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</w:t>
      </w:r>
      <w:r w:rsidR="00DE532C">
        <w:rPr>
          <w:rFonts w:cs="Arial"/>
          <w:b/>
          <w:bCs/>
          <w:sz w:val="24"/>
          <w:lang w:val="en-US" w:eastAsia="ja-JP"/>
        </w:rPr>
        <w:t>3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proofErr w:type="spellStart"/>
      <w:r w:rsidRPr="00B266B0">
        <w:rPr>
          <w:rFonts w:ascii="Arial" w:hAnsi="Arial" w:cs="Arial"/>
          <w:b/>
          <w:bCs/>
          <w:sz w:val="24"/>
        </w:rPr>
        <w:t>Sour</w:t>
      </w:r>
      <w:proofErr w:type="spellEnd"/>
      <w:r w:rsidRPr="00B266B0">
        <w:rPr>
          <w:rFonts w:ascii="Arial" w:hAnsi="Arial" w:cs="Arial"/>
          <w:b/>
          <w:bCs/>
          <w:sz w:val="24"/>
        </w:rPr>
        <w:t>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31588F3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5FD6">
        <w:rPr>
          <w:rFonts w:ascii="Arial" w:hAnsi="Arial" w:cs="Arial"/>
          <w:b/>
          <w:bCs/>
          <w:sz w:val="24"/>
        </w:rPr>
        <w:t>Discussion on</w:t>
      </w:r>
      <w:r w:rsidR="001B7EB4">
        <w:rPr>
          <w:rFonts w:ascii="Arial" w:hAnsi="Arial" w:cs="Arial"/>
          <w:b/>
          <w:bCs/>
          <w:sz w:val="24"/>
        </w:rPr>
        <w:t xml:space="preserve"> </w:t>
      </w:r>
      <w:r w:rsidR="00DE532C">
        <w:rPr>
          <w:rFonts w:ascii="Arial" w:hAnsi="Arial" w:cs="Arial"/>
          <w:b/>
          <w:bCs/>
          <w:sz w:val="24"/>
        </w:rPr>
        <w:t>mobility</w:t>
      </w:r>
      <w:r w:rsidR="001B7EB4">
        <w:rPr>
          <w:rFonts w:ascii="Arial" w:hAnsi="Arial" w:cs="Arial"/>
          <w:b/>
          <w:bCs/>
          <w:sz w:val="24"/>
        </w:rPr>
        <w:t xml:space="preserve"> enhancement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22B54925" w14:textId="5780C3FD" w:rsidR="005F6DE2" w:rsidRPr="00CF0575" w:rsidRDefault="00E6028F" w:rsidP="00CF0575">
      <w:r w:rsidRPr="00CF0575">
        <w:t xml:space="preserve">In this contribution, we’d like to discuss the mobility enhancement based on the </w:t>
      </w:r>
      <w:r w:rsidR="00FF2F2C" w:rsidRPr="00CF0575">
        <w:t>previous</w:t>
      </w:r>
      <w:r w:rsidRPr="00CF0575">
        <w:t xml:space="preserve"> RAN3 agreements </w:t>
      </w:r>
      <w:r w:rsidR="007D434E" w:rsidRPr="00CF0575">
        <w:t>and open issues</w:t>
      </w:r>
      <w:r w:rsidR="00693037" w:rsidRPr="00CF0575">
        <w:t>.</w:t>
      </w:r>
      <w:r w:rsidR="00CF0575">
        <w:t xml:space="preserve"> </w:t>
      </w:r>
      <w:r w:rsidR="005F6DE2" w:rsidRPr="00CF0575">
        <w:t>The following aspects are discussed in this contribution:</w:t>
      </w:r>
    </w:p>
    <w:p w14:paraId="5CC52CF3" w14:textId="77777777" w:rsidR="002A19F2" w:rsidRPr="00CF0575" w:rsidRDefault="002A19F2" w:rsidP="002A19F2">
      <w:pPr>
        <w:pStyle w:val="Doc-text2"/>
        <w:spacing w:line="360" w:lineRule="auto"/>
        <w:ind w:left="363"/>
        <w:rPr>
          <w:rFonts w:ascii="Times New Roman" w:hAnsi="Times New Roman"/>
          <w:b/>
          <w:u w:val="single"/>
        </w:rPr>
      </w:pPr>
      <w:r w:rsidRPr="00CF0575">
        <w:rPr>
          <w:rFonts w:ascii="Times New Roman" w:hAnsi="Times New Roman"/>
          <w:b/>
          <w:u w:val="single"/>
        </w:rPr>
        <w:t>Dynamic TAC</w:t>
      </w:r>
    </w:p>
    <w:p w14:paraId="64A91DF4" w14:textId="01FE46A3" w:rsidR="002A19F2" w:rsidRDefault="002A19F2" w:rsidP="007D434E">
      <w:pPr>
        <w:pStyle w:val="Doc-text2"/>
        <w:spacing w:line="360" w:lineRule="auto"/>
        <w:ind w:left="363"/>
        <w:rPr>
          <w:rFonts w:ascii="Times New Roman" w:hAnsi="Times New Roman"/>
          <w:b/>
          <w:u w:val="single"/>
        </w:rPr>
      </w:pPr>
      <w:r w:rsidRPr="00CF0575">
        <w:rPr>
          <w:rFonts w:ascii="Times New Roman" w:hAnsi="Times New Roman"/>
          <w:b/>
          <w:u w:val="single"/>
        </w:rPr>
        <w:t>Configuration of NCGI</w:t>
      </w:r>
    </w:p>
    <w:p w14:paraId="479DA40B" w14:textId="2DCD1A2E" w:rsidR="00CD4C7B" w:rsidRDefault="00CD4C7B" w:rsidP="005F6DE2">
      <w:pPr>
        <w:pStyle w:val="1"/>
      </w:pPr>
      <w:bookmarkStart w:id="0" w:name="_GoBack"/>
      <w:bookmarkEnd w:id="0"/>
      <w:r w:rsidRPr="006E13D1">
        <w:t>2</w:t>
      </w:r>
      <w:r w:rsidRPr="006E13D1">
        <w:tab/>
      </w:r>
      <w:r w:rsidR="00972FD7">
        <w:t>Discussion</w:t>
      </w:r>
    </w:p>
    <w:p w14:paraId="656544A7" w14:textId="102DE61A" w:rsidR="007D321F" w:rsidRDefault="00854174" w:rsidP="00854174">
      <w:pPr>
        <w:pStyle w:val="2"/>
      </w:pPr>
      <w:bookmarkStart w:id="1" w:name="_Hlk109747344"/>
      <w:r w:rsidRPr="00971F47">
        <w:t>2.</w:t>
      </w:r>
      <w:r w:rsidR="005F345E">
        <w:t>1</w:t>
      </w:r>
      <w:r w:rsidRPr="00971F47">
        <w:t xml:space="preserve"> </w:t>
      </w:r>
      <w:r w:rsidR="00754AA5">
        <w:t>Dynamic TAC</w:t>
      </w:r>
    </w:p>
    <w:p w14:paraId="58E14511" w14:textId="7090E717" w:rsidR="00CD161C" w:rsidRPr="008B7DC7" w:rsidRDefault="00BE3EDD" w:rsidP="008B7DC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  <w:r w:rsidRPr="0033697B">
        <w:rPr>
          <w:rFonts w:ascii="Times New Roman" w:eastAsia="宋体" w:hAnsi="Times New Roman" w:cs="Times New Roman"/>
          <w:szCs w:val="20"/>
          <w:lang w:eastAsia="en-US"/>
        </w:rPr>
        <w:t xml:space="preserve">In </w:t>
      </w:r>
      <w:r w:rsidR="00917D1E" w:rsidRPr="0033697B">
        <w:rPr>
          <w:rFonts w:ascii="Times New Roman" w:eastAsia="宋体" w:hAnsi="Times New Roman" w:cs="Times New Roman"/>
          <w:szCs w:val="20"/>
          <w:lang w:eastAsia="en-US"/>
        </w:rPr>
        <w:t>previous</w:t>
      </w:r>
      <w:r w:rsidRPr="0033697B">
        <w:rPr>
          <w:rFonts w:ascii="Times New Roman" w:eastAsia="宋体" w:hAnsi="Times New Roman" w:cs="Times New Roman"/>
          <w:szCs w:val="20"/>
          <w:lang w:eastAsia="en-US"/>
        </w:rPr>
        <w:t xml:space="preserve"> RAN3 meeting</w:t>
      </w:r>
      <w:r w:rsidR="00917D1E" w:rsidRPr="0033697B">
        <w:rPr>
          <w:rFonts w:ascii="Times New Roman" w:eastAsia="宋体" w:hAnsi="Times New Roman" w:cs="Times New Roman"/>
          <w:szCs w:val="20"/>
          <w:lang w:eastAsia="en-US"/>
        </w:rPr>
        <w:t>s</w:t>
      </w:r>
      <w:r w:rsidRPr="0033697B">
        <w:rPr>
          <w:rFonts w:ascii="Times New Roman" w:eastAsia="宋体" w:hAnsi="Times New Roman" w:cs="Times New Roman"/>
          <w:szCs w:val="20"/>
          <w:lang w:eastAsia="en-US"/>
        </w:rPr>
        <w:t>, it was agreed that</w:t>
      </w:r>
      <w:r w:rsidR="007F6177">
        <w:rPr>
          <w:rFonts w:ascii="Times New Roman" w:eastAsia="宋体" w:hAnsi="Times New Roman" w:cs="Times New Roman"/>
          <w:szCs w:val="20"/>
          <w:lang w:eastAsia="en-US"/>
        </w:rPr>
        <w:t xml:space="preserve"> “</w:t>
      </w:r>
      <w:r w:rsidR="00CD161C" w:rsidRPr="00175E5B">
        <w:rPr>
          <w:rStyle w:val="15"/>
          <w:rFonts w:ascii="Calibri" w:hAnsi="Calibri" w:cs="Calibri"/>
          <w:b/>
          <w:color w:val="008000"/>
          <w:sz w:val="18"/>
          <w:u w:val="none"/>
        </w:rPr>
        <w:t xml:space="preserve">The IAB-DU’s TAC can have the same or a different value than the TAC of the </w:t>
      </w:r>
      <w:proofErr w:type="spellStart"/>
      <w:r w:rsidR="00CD161C" w:rsidRPr="00175E5B">
        <w:rPr>
          <w:rStyle w:val="15"/>
          <w:rFonts w:ascii="Calibri" w:hAnsi="Calibri" w:cs="Calibri"/>
          <w:b/>
          <w:color w:val="008000"/>
          <w:sz w:val="18"/>
          <w:u w:val="none"/>
        </w:rPr>
        <w:t>mIAB</w:t>
      </w:r>
      <w:proofErr w:type="spellEnd"/>
      <w:r w:rsidR="00CD161C" w:rsidRPr="00175E5B">
        <w:rPr>
          <w:rStyle w:val="15"/>
          <w:rFonts w:ascii="Calibri" w:hAnsi="Calibri" w:cs="Calibri"/>
          <w:b/>
          <w:color w:val="008000"/>
          <w:sz w:val="18"/>
          <w:u w:val="none"/>
        </w:rPr>
        <w:t>-MT’s serving cell</w:t>
      </w:r>
      <w:r w:rsidRPr="0033697B">
        <w:rPr>
          <w:rFonts w:ascii="Times New Roman" w:eastAsia="宋体" w:hAnsi="Times New Roman" w:cs="Times New Roman"/>
          <w:szCs w:val="20"/>
          <w:lang w:eastAsia="en-US"/>
        </w:rPr>
        <w:t>.</w:t>
      </w:r>
      <w:r w:rsidR="007F6177">
        <w:rPr>
          <w:rFonts w:ascii="Times New Roman" w:eastAsia="宋体" w:hAnsi="Times New Roman" w:cs="Times New Roman"/>
          <w:szCs w:val="20"/>
          <w:lang w:eastAsia="en-US"/>
        </w:rPr>
        <w:t>”</w:t>
      </w:r>
    </w:p>
    <w:p w14:paraId="1B3C256A" w14:textId="77777777" w:rsidR="00CD161C" w:rsidRDefault="00CD161C" w:rsidP="00A757D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</w:p>
    <w:p w14:paraId="138CEE34" w14:textId="220AB7C0" w:rsidR="00917D1E" w:rsidRDefault="007F6177" w:rsidP="00A757D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  <w:r>
        <w:rPr>
          <w:rFonts w:ascii="Times New Roman" w:eastAsia="宋体" w:hAnsi="Times New Roman" w:cs="Times New Roman"/>
          <w:szCs w:val="20"/>
          <w:lang w:eastAsia="en-US"/>
        </w:rPr>
        <w:t xml:space="preserve">In case the IAB-DU’s TAC is the same as the TAC of the </w:t>
      </w:r>
      <w:proofErr w:type="spellStart"/>
      <w:r>
        <w:rPr>
          <w:rFonts w:ascii="Times New Roman" w:eastAsia="宋体" w:hAnsi="Times New Roman" w:cs="Times New Roman"/>
          <w:szCs w:val="20"/>
          <w:lang w:eastAsia="en-US"/>
        </w:rPr>
        <w:t>mIAB</w:t>
      </w:r>
      <w:proofErr w:type="spellEnd"/>
      <w:r>
        <w:rPr>
          <w:rFonts w:ascii="Times New Roman" w:eastAsia="宋体" w:hAnsi="Times New Roman" w:cs="Times New Roman"/>
          <w:szCs w:val="20"/>
          <w:lang w:eastAsia="en-US"/>
        </w:rPr>
        <w:t>-MT’s serving cell</w:t>
      </w:r>
      <w:r w:rsidR="001F4FE5" w:rsidRPr="0033697B">
        <w:rPr>
          <w:rFonts w:ascii="Times New Roman" w:eastAsia="宋体" w:hAnsi="Times New Roman" w:cs="Times New Roman"/>
          <w:szCs w:val="20"/>
          <w:lang w:eastAsia="en-US"/>
        </w:rPr>
        <w:t>, the IAB-MT can read the broadcasted TAC from the IAB-MT’s donor-CU, and the co-located IAB-DU can change the broadcast TAC accordingly if needed, the IAB-DU can notify the IAB-DU’s donor-CU the updated TAC, which is already supported by existing signalling, we don’t see any impacts on stage3 specifications.</w:t>
      </w:r>
    </w:p>
    <w:p w14:paraId="1038117D" w14:textId="29C8A7E1" w:rsidR="0036211E" w:rsidRDefault="0036211E" w:rsidP="00A757D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</w:p>
    <w:p w14:paraId="11DD1DB6" w14:textId="39FCC1C1" w:rsidR="0036211E" w:rsidRDefault="0036211E" w:rsidP="00A757D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  <w:r>
        <w:rPr>
          <w:rFonts w:ascii="Times New Roman" w:eastAsia="宋体" w:hAnsi="Times New Roman" w:cs="Times New Roman"/>
          <w:szCs w:val="20"/>
          <w:lang w:eastAsia="en-US"/>
        </w:rPr>
        <w:t xml:space="preserve">In case the IAB-DU’s TAC is the different from the TAC of the </w:t>
      </w:r>
      <w:proofErr w:type="spellStart"/>
      <w:r>
        <w:rPr>
          <w:rFonts w:ascii="Times New Roman" w:eastAsia="宋体" w:hAnsi="Times New Roman" w:cs="Times New Roman"/>
          <w:szCs w:val="20"/>
          <w:lang w:eastAsia="en-US"/>
        </w:rPr>
        <w:t>mIAB</w:t>
      </w:r>
      <w:proofErr w:type="spellEnd"/>
      <w:r>
        <w:rPr>
          <w:rFonts w:ascii="Times New Roman" w:eastAsia="宋体" w:hAnsi="Times New Roman" w:cs="Times New Roman"/>
          <w:szCs w:val="20"/>
          <w:lang w:eastAsia="en-US"/>
        </w:rPr>
        <w:t>-MT’s serving cell</w:t>
      </w:r>
      <w:r w:rsidRPr="0033697B">
        <w:rPr>
          <w:rFonts w:ascii="Times New Roman" w:eastAsia="宋体" w:hAnsi="Times New Roman" w:cs="Times New Roman"/>
          <w:szCs w:val="20"/>
          <w:lang w:eastAsia="en-US"/>
        </w:rPr>
        <w:t>,</w:t>
      </w:r>
      <w:r>
        <w:rPr>
          <w:rFonts w:ascii="Times New Roman" w:eastAsia="宋体" w:hAnsi="Times New Roman" w:cs="Times New Roman"/>
          <w:szCs w:val="20"/>
          <w:lang w:eastAsia="en-US"/>
        </w:rPr>
        <w:t xml:space="preserve"> our understanding </w:t>
      </w:r>
      <w:r w:rsidR="00CF0575">
        <w:rPr>
          <w:rFonts w:ascii="Times New Roman" w:eastAsia="宋体" w:hAnsi="Times New Roman" w:cs="Times New Roman"/>
          <w:szCs w:val="20"/>
          <w:lang w:eastAsia="en-US"/>
        </w:rPr>
        <w:t xml:space="preserve">is that </w:t>
      </w:r>
      <w:r>
        <w:rPr>
          <w:rFonts w:ascii="Times New Roman" w:eastAsia="宋体" w:hAnsi="Times New Roman" w:cs="Times New Roman"/>
          <w:szCs w:val="20"/>
          <w:lang w:eastAsia="en-US"/>
        </w:rPr>
        <w:t>the TAC can be assigned or preconfigured in IAB-DU via OAM, which is also supported by existing signalling and will have no stage3 impacts.</w:t>
      </w:r>
    </w:p>
    <w:p w14:paraId="1A4FF0A7" w14:textId="07D00725" w:rsidR="0036211E" w:rsidRDefault="0036211E" w:rsidP="00A757D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</w:p>
    <w:p w14:paraId="52AEDAB8" w14:textId="7AA91E69" w:rsidR="0036211E" w:rsidRPr="0033697B" w:rsidRDefault="0036211E" w:rsidP="00A757D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  <w:r>
        <w:rPr>
          <w:rFonts w:ascii="Times New Roman" w:eastAsia="宋体" w:hAnsi="Times New Roman" w:cs="Times New Roman"/>
          <w:szCs w:val="20"/>
          <w:lang w:eastAsia="en-US"/>
        </w:rPr>
        <w:t xml:space="preserve">Regarding the RANAC reconfiguration, same mechanism as TAC reconfiguration can be used, which means there’s no </w:t>
      </w:r>
      <w:r w:rsidR="008B7DC7">
        <w:rPr>
          <w:rFonts w:ascii="Times New Roman" w:eastAsia="宋体" w:hAnsi="Times New Roman" w:cs="Times New Roman"/>
          <w:szCs w:val="20"/>
          <w:lang w:eastAsia="en-US"/>
        </w:rPr>
        <w:t>stage3 impacts.</w:t>
      </w:r>
      <w:r>
        <w:rPr>
          <w:rFonts w:ascii="Times New Roman" w:eastAsia="宋体" w:hAnsi="Times New Roman" w:cs="Times New Roman"/>
          <w:szCs w:val="20"/>
          <w:lang w:eastAsia="en-US"/>
        </w:rPr>
        <w:t xml:space="preserve">  </w:t>
      </w:r>
    </w:p>
    <w:p w14:paraId="46D2617F" w14:textId="3191408F" w:rsidR="00754AA5" w:rsidRPr="0033697B" w:rsidRDefault="00754AA5" w:rsidP="00A757D7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</w:p>
    <w:p w14:paraId="5980058B" w14:textId="73723B95" w:rsidR="001F4A77" w:rsidRPr="0033697B" w:rsidRDefault="001F4A77" w:rsidP="00754AA5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Observation</w:t>
      </w:r>
      <w:r w:rsid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</w:t>
      </w:r>
      <w:r w:rsidR="009D39E8">
        <w:rPr>
          <w:rFonts w:ascii="Times New Roman" w:eastAsia="宋体" w:hAnsi="Times New Roman" w:cs="Times New Roman"/>
          <w:b/>
          <w:szCs w:val="20"/>
          <w:lang w:eastAsia="en-US"/>
        </w:rPr>
        <w:t>1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, existing signalling already support dynamic TAC</w:t>
      </w:r>
      <w:r w:rsidR="0036211E">
        <w:rPr>
          <w:rFonts w:ascii="Times New Roman" w:eastAsia="宋体" w:hAnsi="Times New Roman" w:cs="Times New Roman"/>
          <w:b/>
          <w:szCs w:val="20"/>
          <w:lang w:eastAsia="en-US"/>
        </w:rPr>
        <w:t xml:space="preserve"> in case the IAB-DU’s TAC </w:t>
      </w:r>
      <w:r w:rsidR="0036211E" w:rsidRPr="0036211E">
        <w:rPr>
          <w:rFonts w:ascii="Times New Roman" w:eastAsia="宋体" w:hAnsi="Times New Roman" w:cs="Times New Roman"/>
          <w:b/>
          <w:szCs w:val="20"/>
          <w:lang w:eastAsia="en-US"/>
        </w:rPr>
        <w:t xml:space="preserve">the same or a different value than the TAC of the </w:t>
      </w:r>
      <w:proofErr w:type="spellStart"/>
      <w:r w:rsidR="0036211E" w:rsidRPr="0036211E">
        <w:rPr>
          <w:rFonts w:ascii="Times New Roman" w:eastAsia="宋体" w:hAnsi="Times New Roman" w:cs="Times New Roman"/>
          <w:b/>
          <w:szCs w:val="20"/>
          <w:lang w:eastAsia="en-US"/>
        </w:rPr>
        <w:t>mIAB</w:t>
      </w:r>
      <w:proofErr w:type="spellEnd"/>
      <w:r w:rsidR="0036211E" w:rsidRPr="0036211E">
        <w:rPr>
          <w:rFonts w:ascii="Times New Roman" w:eastAsia="宋体" w:hAnsi="Times New Roman" w:cs="Times New Roman"/>
          <w:b/>
          <w:szCs w:val="20"/>
          <w:lang w:eastAsia="en-US"/>
        </w:rPr>
        <w:t>-MT’s serving cell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. </w:t>
      </w:r>
    </w:p>
    <w:p w14:paraId="29CD018B" w14:textId="610714D2" w:rsidR="00BE3EDD" w:rsidRPr="0033697B" w:rsidRDefault="00754AA5" w:rsidP="00754AA5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Proposal</w:t>
      </w:r>
      <w:r w:rsidR="00877B02"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</w:t>
      </w:r>
      <w:r w:rsidR="009D39E8">
        <w:rPr>
          <w:rFonts w:ascii="Times New Roman" w:eastAsia="宋体" w:hAnsi="Times New Roman" w:cs="Times New Roman"/>
          <w:b/>
          <w:szCs w:val="20"/>
          <w:lang w:eastAsia="en-US"/>
        </w:rPr>
        <w:t>1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, RAN3 conclude</w:t>
      </w:r>
      <w:r w:rsidR="009D39E8">
        <w:rPr>
          <w:rFonts w:ascii="Times New Roman" w:eastAsia="宋体" w:hAnsi="Times New Roman" w:cs="Times New Roman"/>
          <w:b/>
          <w:szCs w:val="20"/>
          <w:lang w:eastAsia="en-US"/>
        </w:rPr>
        <w:t>s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that there is no </w:t>
      </w:r>
      <w:r w:rsidR="00FF2F2C"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stage 3 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specification work to support dynamic TAC from RAN3 perspective.</w:t>
      </w:r>
    </w:p>
    <w:p w14:paraId="39AD4B7A" w14:textId="7198FEE5" w:rsidR="00A757D7" w:rsidRDefault="00A757D7" w:rsidP="00A757D7">
      <w:pPr>
        <w:pStyle w:val="Doc-text2"/>
        <w:ind w:left="0" w:firstLine="0"/>
        <w:rPr>
          <w:rFonts w:ascii="Times New Roman" w:hAnsi="Times New Roman" w:cs="Times New Roman"/>
          <w:lang w:val="en-US"/>
        </w:rPr>
      </w:pPr>
    </w:p>
    <w:p w14:paraId="0838F4CF" w14:textId="1928CBB1" w:rsidR="00754AA5" w:rsidRDefault="00754AA5" w:rsidP="00754AA5">
      <w:pPr>
        <w:pStyle w:val="2"/>
      </w:pPr>
      <w:r w:rsidRPr="00971F47">
        <w:t>2.</w:t>
      </w:r>
      <w:r w:rsidR="005F345E">
        <w:t>2</w:t>
      </w:r>
      <w:r w:rsidRPr="00971F47">
        <w:t xml:space="preserve"> </w:t>
      </w:r>
      <w:r w:rsidR="00874AD3">
        <w:t>NCGI</w:t>
      </w:r>
      <w:r w:rsidR="00FF2F2C">
        <w:t xml:space="preserve"> Reconfiguration</w:t>
      </w:r>
    </w:p>
    <w:p w14:paraId="6ADAB1F8" w14:textId="30A1C8F4" w:rsidR="00C44740" w:rsidRDefault="004D75F7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  <w:r w:rsidRPr="0033697B">
        <w:rPr>
          <w:rFonts w:ascii="Times New Roman" w:hAnsi="Times New Roman" w:cs="Times New Roman"/>
          <w:szCs w:val="20"/>
        </w:rPr>
        <w:t>In last RAN3 meeting, RAN3 decide</w:t>
      </w:r>
      <w:r w:rsidR="00CF0575">
        <w:rPr>
          <w:rFonts w:ascii="Times New Roman" w:hAnsi="Times New Roman" w:cs="Times New Roman"/>
          <w:szCs w:val="20"/>
        </w:rPr>
        <w:t>d</w:t>
      </w:r>
      <w:r w:rsidRPr="0033697B">
        <w:rPr>
          <w:rFonts w:ascii="Times New Roman" w:hAnsi="Times New Roman" w:cs="Times New Roman"/>
          <w:szCs w:val="20"/>
        </w:rPr>
        <w:t xml:space="preserve"> to further discuss how should the NCGI be configured. </w:t>
      </w:r>
      <w:r w:rsidR="00C44740">
        <w:rPr>
          <w:rFonts w:ascii="Times New Roman" w:hAnsi="Times New Roman" w:cs="Times New Roman"/>
          <w:szCs w:val="20"/>
        </w:rPr>
        <w:t xml:space="preserve">Companies may think </w:t>
      </w:r>
      <w:r w:rsidR="000F0733">
        <w:rPr>
          <w:rFonts w:ascii="Times New Roman" w:hAnsi="Times New Roman" w:cs="Times New Roman"/>
          <w:szCs w:val="20"/>
        </w:rPr>
        <w:t>the NGCI reconfiguration can be done by OAM, however, in mobile IAB deployment, there may be multiple buses, trains or cars</w:t>
      </w:r>
      <w:r w:rsidR="00D47215">
        <w:rPr>
          <w:rFonts w:ascii="Times New Roman" w:hAnsi="Times New Roman" w:cs="Times New Roman"/>
          <w:szCs w:val="20"/>
        </w:rPr>
        <w:t xml:space="preserve"> mounted with mobile IAB function</w:t>
      </w:r>
      <w:r w:rsidR="000F0733">
        <w:rPr>
          <w:rFonts w:ascii="Times New Roman" w:hAnsi="Times New Roman" w:cs="Times New Roman"/>
          <w:szCs w:val="20"/>
        </w:rPr>
        <w:t>. And the inter-donor DU migration may be very frequent</w:t>
      </w:r>
      <w:r w:rsidR="00F8380A">
        <w:rPr>
          <w:rFonts w:ascii="Times New Roman" w:hAnsi="Times New Roman" w:cs="Times New Roman"/>
          <w:szCs w:val="20"/>
        </w:rPr>
        <w:t xml:space="preserve">, dynamic and unpredictable. </w:t>
      </w:r>
    </w:p>
    <w:p w14:paraId="4869E2FD" w14:textId="5081F0CB" w:rsidR="00D47215" w:rsidRDefault="00D47215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</w:p>
    <w:p w14:paraId="23FF6D7F" w14:textId="0412A8AE" w:rsidR="00D47215" w:rsidRDefault="00D47215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On the other hand, according to the NGCI content as below, the minimum cell number can be assigned to a </w:t>
      </w:r>
      <w:proofErr w:type="spellStart"/>
      <w:r>
        <w:rPr>
          <w:rFonts w:ascii="Times New Roman" w:hAnsi="Times New Roman" w:cs="Times New Roman"/>
          <w:szCs w:val="20"/>
        </w:rPr>
        <w:t>gNB</w:t>
      </w:r>
      <w:proofErr w:type="spellEnd"/>
      <w:r>
        <w:rPr>
          <w:rFonts w:ascii="Times New Roman" w:hAnsi="Times New Roman" w:cs="Times New Roman"/>
          <w:szCs w:val="20"/>
        </w:rPr>
        <w:t xml:space="preserve"> is range 0-15 in case 4 bits is allocated to cell ID. It is also possible that NGCI conflict happens.</w:t>
      </w:r>
    </w:p>
    <w:p w14:paraId="54E1CA28" w14:textId="77777777" w:rsidR="00D47215" w:rsidRDefault="00D47215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</w:p>
    <w:p w14:paraId="198D176E" w14:textId="1FE18B7A" w:rsidR="000F0733" w:rsidRDefault="00D47215" w:rsidP="00D47215">
      <w:pPr>
        <w:pStyle w:val="Doc-text2"/>
        <w:ind w:left="0" w:firstLine="0"/>
        <w:jc w:val="center"/>
        <w:rPr>
          <w:rFonts w:ascii="Times New Roman" w:hAnsi="Times New Roman" w:cs="Times New Roman"/>
          <w:szCs w:val="20"/>
        </w:rPr>
      </w:pPr>
      <w:r>
        <w:object w:dxaOrig="7131" w:dyaOrig="3440" w14:anchorId="30933B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pt;height:2in" o:ole="">
            <v:imagedata r:id="rId8" o:title=""/>
          </v:shape>
          <o:OLEObject Type="Embed" ProgID="Visio.Drawing.15" ShapeID="_x0000_i1025" DrawAspect="Content" ObjectID="_1745408541" r:id="rId9"/>
        </w:object>
      </w:r>
    </w:p>
    <w:p w14:paraId="5285B1B3" w14:textId="77777777" w:rsidR="00D47215" w:rsidRDefault="00D47215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</w:p>
    <w:p w14:paraId="03FF1C96" w14:textId="04632674" w:rsidR="00C80DBF" w:rsidRPr="0033697B" w:rsidRDefault="00D47215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In our view,</w:t>
      </w:r>
      <w:r w:rsidR="004D75F7" w:rsidRPr="0033697B">
        <w:rPr>
          <w:rFonts w:ascii="Times New Roman" w:hAnsi="Times New Roman" w:cs="Times New Roman"/>
          <w:szCs w:val="20"/>
        </w:rPr>
        <w:t xml:space="preserve"> the NC</w:t>
      </w:r>
      <w:r w:rsidR="00062604" w:rsidRPr="0033697B">
        <w:rPr>
          <w:rFonts w:ascii="Times New Roman" w:hAnsi="Times New Roman" w:cs="Times New Roman"/>
          <w:szCs w:val="20"/>
        </w:rPr>
        <w:t>G</w:t>
      </w:r>
      <w:r w:rsidR="004D75F7" w:rsidRPr="0033697B">
        <w:rPr>
          <w:rFonts w:ascii="Times New Roman" w:hAnsi="Times New Roman" w:cs="Times New Roman"/>
          <w:szCs w:val="20"/>
        </w:rPr>
        <w:t xml:space="preserve">I configuration can refer to PCI configuration in PCI </w:t>
      </w:r>
      <w:r w:rsidR="00FF2F2C" w:rsidRPr="0033697B">
        <w:rPr>
          <w:rFonts w:ascii="Times New Roman" w:hAnsi="Times New Roman" w:cs="Times New Roman"/>
          <w:szCs w:val="20"/>
        </w:rPr>
        <w:t>optimisation</w:t>
      </w:r>
      <w:r w:rsidR="004D75F7" w:rsidRPr="0033697B">
        <w:rPr>
          <w:rFonts w:ascii="Times New Roman" w:hAnsi="Times New Roman" w:cs="Times New Roman"/>
          <w:szCs w:val="20"/>
        </w:rPr>
        <w:t xml:space="preserve"> function. </w:t>
      </w:r>
    </w:p>
    <w:p w14:paraId="26B4D1B3" w14:textId="63C43ACC" w:rsidR="004D75F7" w:rsidRPr="0033697B" w:rsidRDefault="005C524F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  <w:r w:rsidRPr="0033697B">
        <w:rPr>
          <w:rFonts w:ascii="Times New Roman" w:hAnsi="Times New Roman" w:cs="Times New Roman"/>
          <w:szCs w:val="20"/>
        </w:rPr>
        <w:t xml:space="preserve">Similar to PCI reconfiguration, the </w:t>
      </w:r>
      <w:r w:rsidR="00F14DCE" w:rsidRPr="0033697B">
        <w:rPr>
          <w:rFonts w:ascii="Times New Roman" w:hAnsi="Times New Roman" w:cs="Times New Roman"/>
          <w:szCs w:val="20"/>
        </w:rPr>
        <w:t xml:space="preserve">reconfiguration of </w:t>
      </w:r>
      <w:r w:rsidRPr="0033697B">
        <w:rPr>
          <w:rFonts w:ascii="Times New Roman" w:hAnsi="Times New Roman" w:cs="Times New Roman"/>
          <w:szCs w:val="20"/>
        </w:rPr>
        <w:t>NC</w:t>
      </w:r>
      <w:r w:rsidR="00062604" w:rsidRPr="0033697B">
        <w:rPr>
          <w:rFonts w:ascii="Times New Roman" w:hAnsi="Times New Roman" w:cs="Times New Roman"/>
          <w:szCs w:val="20"/>
        </w:rPr>
        <w:t>G</w:t>
      </w:r>
      <w:r w:rsidRPr="0033697B">
        <w:rPr>
          <w:rFonts w:ascii="Times New Roman" w:hAnsi="Times New Roman" w:cs="Times New Roman"/>
          <w:szCs w:val="20"/>
        </w:rPr>
        <w:t>I for the IAB-node should be assigned by OAM. Both centralized assignment and distributed assignment can be considered.</w:t>
      </w:r>
    </w:p>
    <w:p w14:paraId="0D0DFBB7" w14:textId="53255B5B" w:rsidR="005C524F" w:rsidRPr="0033697B" w:rsidRDefault="00C44740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  <w:r w:rsidRPr="0033697B">
        <w:rPr>
          <w:rFonts w:ascii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E00B5C" wp14:editId="0A35B31F">
                <wp:simplePos x="0" y="0"/>
                <wp:positionH relativeFrom="column">
                  <wp:posOffset>-54610</wp:posOffset>
                </wp:positionH>
                <wp:positionV relativeFrom="paragraph">
                  <wp:posOffset>183515</wp:posOffset>
                </wp:positionV>
                <wp:extent cx="5906770" cy="2263775"/>
                <wp:effectExtent l="0" t="0" r="17780" b="22225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6770" cy="2263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EAEC51" w14:textId="77777777" w:rsidR="00CD161C" w:rsidRDefault="00CD161C" w:rsidP="004D75F7">
                            <w:pPr>
                              <w:pStyle w:val="2"/>
                            </w:pPr>
                            <w:bookmarkStart w:id="2" w:name="_Toc98351704"/>
                            <w:bookmarkStart w:id="3" w:name="_Toc98748002"/>
                            <w:bookmarkStart w:id="4" w:name="_Toc105704388"/>
                            <w:bookmarkStart w:id="5" w:name="_Toc106108506"/>
                            <w:bookmarkStart w:id="6" w:name="_Toc107829478"/>
                            <w:r>
                              <w:rPr>
                                <w:lang w:eastAsia="en-GB"/>
                              </w:rPr>
                              <w:t>7.8</w:t>
                            </w:r>
                            <w:r>
                              <w:rPr>
                                <w:lang w:eastAsia="en-GB"/>
                              </w:rPr>
                              <w:tab/>
                              <w:t>PCI Optimisation Function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13789899" w14:textId="77777777" w:rsidR="00CD161C" w:rsidRDefault="00CD161C" w:rsidP="004D75F7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 xml:space="preserve">The PCI Optimization Function in non-split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case is specified in TS 38.300 [2].</w:t>
                            </w:r>
                          </w:p>
                          <w:p w14:paraId="1482EFC4" w14:textId="77777777" w:rsidR="00CD161C" w:rsidRPr="009D39E8" w:rsidRDefault="00CD161C" w:rsidP="004D75F7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 xml:space="preserve">In split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r w:rsidRPr="009D39E8">
                              <w:rPr>
                                <w:lang w:val="en-US" w:eastAsia="zh-CN"/>
                              </w:rPr>
                              <w:t xml:space="preserve">architecture, the OAM configures a PCI for each NR cell to the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>-DU.</w:t>
                            </w:r>
                          </w:p>
                          <w:p w14:paraId="7E34DEEF" w14:textId="77777777" w:rsidR="00CD161C" w:rsidRPr="009D39E8" w:rsidRDefault="00CD161C" w:rsidP="004D75F7">
                            <w:pPr>
                              <w:rPr>
                                <w:lang w:val="en-US" w:eastAsia="zh-CN"/>
                              </w:rPr>
                            </w:pPr>
                            <w:r w:rsidRPr="009D39E8">
                              <w:rPr>
                                <w:lang w:val="en-US" w:eastAsia="zh-CN"/>
                              </w:rPr>
                              <w:t xml:space="preserve">For centralized PCI assignment in split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 xml:space="preserve"> architecture, the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>-CU detects PCI conflict of NR cells and reports the NR cells suffering PCI conflict to OAM directly. The OAM is in charge of reassigning a new PCI for the NR cell subject to PCI conflict.</w:t>
                            </w:r>
                          </w:p>
                          <w:p w14:paraId="4D596186" w14:textId="77777777" w:rsidR="00CD161C" w:rsidRDefault="00CD161C" w:rsidP="004D75F7">
                            <w:pPr>
                              <w:rPr>
                                <w:lang w:val="en-US" w:eastAsia="zh-CN"/>
                              </w:rPr>
                            </w:pPr>
                            <w:r w:rsidRPr="009D39E8">
                              <w:rPr>
                                <w:lang w:val="en-US" w:eastAsia="zh-CN"/>
                              </w:rPr>
                              <w:t xml:space="preserve">For distributed PCI assignment in split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 xml:space="preserve"> architecture, the OAM assigns</w:t>
                            </w:r>
                            <w:r w:rsidRPr="009D39E8"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 w:rsidRPr="009D39E8">
                              <w:rPr>
                                <w:lang w:val="en-US" w:eastAsia="zh-CN"/>
                              </w:rPr>
                              <w:t xml:space="preserve">a list of PCIs for each NR cell and sends the configured PCI list to the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 xml:space="preserve">-CU. If the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 xml:space="preserve">-CU detects PCI conflict, the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 xml:space="preserve">-CU may select a new PCI value from the preconfigured PCI list for the NR cell and send it to the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 xml:space="preserve">-DU by either F1 Setup procedure or </w:t>
                            </w:r>
                            <w:proofErr w:type="spellStart"/>
                            <w:r w:rsidRPr="009D39E8">
                              <w:rPr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9D39E8">
                              <w:rPr>
                                <w:lang w:val="en-US" w:eastAsia="zh-CN"/>
                              </w:rPr>
                              <w:t>-CU configuration update procedure.</w:t>
                            </w:r>
                          </w:p>
                          <w:p w14:paraId="5B18F05C" w14:textId="77777777" w:rsidR="00CD161C" w:rsidRPr="004D75F7" w:rsidRDefault="00CD161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E00B5C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-4.3pt;margin-top:14.45pt;width:465.1pt;height:178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" fillcolor="white [3201]" strokeweight=".5pt">
                <v:textbox>
                  <w:txbxContent>
                    <w:p w14:paraId="14EAEC51" w14:textId="77777777" w:rsidR="00CD161C" w:rsidRDefault="00CD161C" w:rsidP="004D75F7">
                      <w:pPr>
                        <w:pStyle w:val="2"/>
                      </w:pPr>
                      <w:bookmarkStart w:id="7" w:name="_Toc98351704"/>
                      <w:bookmarkStart w:id="8" w:name="_Toc98748002"/>
                      <w:bookmarkStart w:id="9" w:name="_Toc105704388"/>
                      <w:bookmarkStart w:id="10" w:name="_Toc106108506"/>
                      <w:bookmarkStart w:id="11" w:name="_Toc107829478"/>
                      <w:r>
                        <w:rPr>
                          <w:lang w:eastAsia="en-GB"/>
                        </w:rPr>
                        <w:t>7.8</w:t>
                      </w:r>
                      <w:r>
                        <w:rPr>
                          <w:lang w:eastAsia="en-GB"/>
                        </w:rPr>
                        <w:tab/>
                        <w:t>PCI Optimisation Function</w:t>
                      </w:r>
                      <w:bookmarkEnd w:id="7"/>
                      <w:bookmarkEnd w:id="8"/>
                      <w:bookmarkEnd w:id="9"/>
                      <w:bookmarkEnd w:id="10"/>
                      <w:bookmarkEnd w:id="11"/>
                    </w:p>
                    <w:p w14:paraId="13789899" w14:textId="77777777" w:rsidR="00CD161C" w:rsidRDefault="00CD161C" w:rsidP="004D75F7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The PCI Optimization Function in non-split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case is specified in TS 38.300 [2].</w:t>
                      </w:r>
                    </w:p>
                    <w:p w14:paraId="1482EFC4" w14:textId="77777777" w:rsidR="00CD161C" w:rsidRPr="009D39E8" w:rsidRDefault="00CD161C" w:rsidP="004D75F7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 xml:space="preserve">In split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</w:t>
                      </w:r>
                      <w:r w:rsidRPr="009D39E8">
                        <w:rPr>
                          <w:lang w:val="en-US" w:eastAsia="zh-CN"/>
                        </w:rPr>
                        <w:t xml:space="preserve">architecture, the OAM configures a PCI for each NR cell to the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>-DU.</w:t>
                      </w:r>
                    </w:p>
                    <w:p w14:paraId="7E34DEEF" w14:textId="77777777" w:rsidR="00CD161C" w:rsidRPr="009D39E8" w:rsidRDefault="00CD161C" w:rsidP="004D75F7">
                      <w:pPr>
                        <w:rPr>
                          <w:lang w:val="en-US" w:eastAsia="zh-CN"/>
                        </w:rPr>
                      </w:pPr>
                      <w:r w:rsidRPr="009D39E8">
                        <w:rPr>
                          <w:lang w:val="en-US" w:eastAsia="zh-CN"/>
                        </w:rPr>
                        <w:t xml:space="preserve">For centralized PCI assignment in split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 xml:space="preserve"> architecture, the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>-CU detects PCI conflict of NR cells and reports the NR cells suffering PCI conflict to OAM directly. The OAM is in charge of reassigning a new PCI for the NR cell subject to PCI conflict.</w:t>
                      </w:r>
                    </w:p>
                    <w:p w14:paraId="4D596186" w14:textId="77777777" w:rsidR="00CD161C" w:rsidRDefault="00CD161C" w:rsidP="004D75F7">
                      <w:pPr>
                        <w:rPr>
                          <w:lang w:val="en-US" w:eastAsia="zh-CN"/>
                        </w:rPr>
                      </w:pPr>
                      <w:r w:rsidRPr="009D39E8">
                        <w:rPr>
                          <w:lang w:val="en-US" w:eastAsia="zh-CN"/>
                        </w:rPr>
                        <w:t xml:space="preserve">For distributed PCI assignment in split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 xml:space="preserve"> architecture, the OAM assigns</w:t>
                      </w:r>
                      <w:r w:rsidRPr="009D39E8"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 w:rsidRPr="009D39E8">
                        <w:rPr>
                          <w:lang w:val="en-US" w:eastAsia="zh-CN"/>
                        </w:rPr>
                        <w:t xml:space="preserve">a list of PCIs for each NR cell and sends the configured PCI list to the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 xml:space="preserve">-CU. If the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 xml:space="preserve">-CU detects PCI conflict, the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 xml:space="preserve">-CU may select a new PCI value from the preconfigured PCI list for the NR cell and send it to the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 xml:space="preserve">-DU by either F1 Setup procedure or </w:t>
                      </w:r>
                      <w:proofErr w:type="spellStart"/>
                      <w:r w:rsidRPr="009D39E8">
                        <w:rPr>
                          <w:lang w:val="en-US" w:eastAsia="zh-CN"/>
                        </w:rPr>
                        <w:t>gNB</w:t>
                      </w:r>
                      <w:proofErr w:type="spellEnd"/>
                      <w:r w:rsidRPr="009D39E8">
                        <w:rPr>
                          <w:lang w:val="en-US" w:eastAsia="zh-CN"/>
                        </w:rPr>
                        <w:t>-CU configuration update procedure.</w:t>
                      </w:r>
                    </w:p>
                    <w:p w14:paraId="5B18F05C" w14:textId="77777777" w:rsidR="00CD161C" w:rsidRPr="004D75F7" w:rsidRDefault="00CD161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C76160E" w14:textId="37F60629" w:rsidR="004D75F7" w:rsidRPr="0033697B" w:rsidRDefault="005C524F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  <w:r w:rsidRPr="0033697B">
        <w:rPr>
          <w:rFonts w:ascii="Times New Roman" w:hAnsi="Times New Roman" w:cs="Times New Roman"/>
          <w:szCs w:val="20"/>
        </w:rPr>
        <w:t>For centralized assignment, OAM can send the new NC</w:t>
      </w:r>
      <w:r w:rsidR="00062604" w:rsidRPr="0033697B">
        <w:rPr>
          <w:rFonts w:ascii="Times New Roman" w:hAnsi="Times New Roman" w:cs="Times New Roman"/>
          <w:szCs w:val="20"/>
        </w:rPr>
        <w:t>G</w:t>
      </w:r>
      <w:r w:rsidRPr="0033697B">
        <w:rPr>
          <w:rFonts w:ascii="Times New Roman" w:hAnsi="Times New Roman" w:cs="Times New Roman"/>
          <w:szCs w:val="20"/>
        </w:rPr>
        <w:t>I to the mobile IAB node via PDU session with OAM;</w:t>
      </w:r>
    </w:p>
    <w:p w14:paraId="178C526B" w14:textId="43B1066A" w:rsidR="00FA116A" w:rsidRPr="00FA116A" w:rsidRDefault="005C524F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  <w:r w:rsidRPr="0033697B">
        <w:rPr>
          <w:rFonts w:ascii="Times New Roman" w:hAnsi="Times New Roman" w:cs="Times New Roman"/>
          <w:szCs w:val="20"/>
        </w:rPr>
        <w:t>For distributed assignment, OAM can assign list of NCGIs to the IAB-donor-CU, if new mobile IAB-DU is connected to this IAB-donor-CU, IAB-donor-CU can assign one of the available NC</w:t>
      </w:r>
      <w:r w:rsidR="00062604" w:rsidRPr="0033697B">
        <w:rPr>
          <w:rFonts w:ascii="Times New Roman" w:hAnsi="Times New Roman" w:cs="Times New Roman"/>
          <w:szCs w:val="20"/>
        </w:rPr>
        <w:t>G</w:t>
      </w:r>
      <w:r w:rsidRPr="0033697B">
        <w:rPr>
          <w:rFonts w:ascii="Times New Roman" w:hAnsi="Times New Roman" w:cs="Times New Roman"/>
          <w:szCs w:val="20"/>
        </w:rPr>
        <w:t>I to the cells in IAB-DU.</w:t>
      </w:r>
    </w:p>
    <w:p w14:paraId="7C7C1E05" w14:textId="77777777" w:rsidR="00FA116A" w:rsidRPr="0033697B" w:rsidRDefault="00FA116A" w:rsidP="00A757D7">
      <w:pPr>
        <w:pStyle w:val="Doc-text2"/>
        <w:ind w:left="0" w:firstLine="0"/>
        <w:rPr>
          <w:rFonts w:ascii="Times New Roman" w:hAnsi="Times New Roman" w:cs="Times New Roman"/>
          <w:szCs w:val="20"/>
        </w:rPr>
      </w:pPr>
    </w:p>
    <w:p w14:paraId="1F2D2776" w14:textId="5FF5BA63" w:rsidR="009D39E8" w:rsidRDefault="009D39E8" w:rsidP="00877B02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>
        <w:rPr>
          <w:rFonts w:ascii="Times New Roman" w:eastAsia="宋体" w:hAnsi="Times New Roman" w:cs="Times New Roman"/>
          <w:b/>
          <w:szCs w:val="20"/>
          <w:lang w:eastAsia="en-US"/>
        </w:rPr>
        <w:t xml:space="preserve">Observation 2, in mobile IAB deployment, there may be multiple moving cells in the network, the NGCI conflict may not be avoided, especially in case the </w:t>
      </w:r>
      <w:r w:rsidRPr="009D39E8">
        <w:rPr>
          <w:rFonts w:ascii="Times New Roman" w:eastAsia="宋体" w:hAnsi="Times New Roman" w:cs="Times New Roman"/>
          <w:b/>
          <w:szCs w:val="20"/>
          <w:lang w:eastAsia="en-US"/>
        </w:rPr>
        <w:t xml:space="preserve">minimum cell number can be assigned to a </w:t>
      </w:r>
      <w:proofErr w:type="spellStart"/>
      <w:r w:rsidRPr="009D39E8">
        <w:rPr>
          <w:rFonts w:ascii="Times New Roman" w:eastAsia="宋体" w:hAnsi="Times New Roman" w:cs="Times New Roman"/>
          <w:b/>
          <w:szCs w:val="20"/>
          <w:lang w:eastAsia="en-US"/>
        </w:rPr>
        <w:t>gNB</w:t>
      </w:r>
      <w:proofErr w:type="spellEnd"/>
      <w:r w:rsidRPr="009D39E8">
        <w:rPr>
          <w:rFonts w:ascii="Times New Roman" w:eastAsia="宋体" w:hAnsi="Times New Roman" w:cs="Times New Roman"/>
          <w:b/>
          <w:szCs w:val="20"/>
          <w:lang w:eastAsia="en-US"/>
        </w:rPr>
        <w:t xml:space="preserve"> is range 0-15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>.</w:t>
      </w:r>
    </w:p>
    <w:p w14:paraId="7D76E5BB" w14:textId="70FC597B" w:rsidR="005C524F" w:rsidRPr="0033697B" w:rsidRDefault="005C524F" w:rsidP="00877B02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Proposal</w:t>
      </w:r>
      <w:r w:rsidR="00877B02"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</w:t>
      </w:r>
      <w:r w:rsidR="009D39E8">
        <w:rPr>
          <w:rFonts w:ascii="Times New Roman" w:eastAsia="宋体" w:hAnsi="Times New Roman" w:cs="Times New Roman"/>
          <w:b/>
          <w:szCs w:val="20"/>
          <w:lang w:eastAsia="en-US"/>
        </w:rPr>
        <w:t>2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, the NCGI for the IAB-node </w:t>
      </w:r>
      <w:r w:rsidR="009D39E8">
        <w:rPr>
          <w:rFonts w:ascii="Times New Roman" w:eastAsia="宋体" w:hAnsi="Times New Roman" w:cs="Times New Roman"/>
          <w:b/>
          <w:szCs w:val="20"/>
          <w:lang w:eastAsia="en-US"/>
        </w:rPr>
        <w:t>can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be assigned by OAM</w:t>
      </w:r>
      <w:r w:rsidR="009D39E8">
        <w:rPr>
          <w:rFonts w:ascii="Times New Roman" w:eastAsia="宋体" w:hAnsi="Times New Roman" w:cs="Times New Roman"/>
          <w:b/>
          <w:szCs w:val="20"/>
          <w:lang w:eastAsia="en-US"/>
        </w:rPr>
        <w:t xml:space="preserve"> or IAB-donor-CU.</w:t>
      </w:r>
    </w:p>
    <w:p w14:paraId="18221FFD" w14:textId="17173010" w:rsidR="00E469E6" w:rsidRDefault="005C524F" w:rsidP="009D39E8">
      <w:pPr>
        <w:pStyle w:val="Doc-text2"/>
        <w:spacing w:before="120" w:after="120"/>
        <w:ind w:left="0" w:firstLine="0"/>
        <w:rPr>
          <w:rFonts w:ascii="Times New Roman" w:hAnsi="Times New Roman" w:cs="Times New Roman"/>
          <w:szCs w:val="20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Proposal</w:t>
      </w:r>
      <w:r w:rsidR="00877B02"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</w:t>
      </w:r>
      <w:r w:rsidR="009D39E8">
        <w:rPr>
          <w:rFonts w:ascii="Times New Roman" w:eastAsia="宋体" w:hAnsi="Times New Roman" w:cs="Times New Roman"/>
          <w:b/>
          <w:szCs w:val="20"/>
          <w:lang w:eastAsia="en-US"/>
        </w:rPr>
        <w:t>3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, both </w:t>
      </w:r>
      <w:r w:rsidR="00FA2068" w:rsidRPr="0033697B">
        <w:rPr>
          <w:rFonts w:ascii="Times New Roman" w:eastAsia="宋体" w:hAnsi="Times New Roman" w:cs="Times New Roman"/>
          <w:b/>
          <w:szCs w:val="20"/>
          <w:lang w:eastAsia="en-US"/>
        </w:rPr>
        <w:t>centralized NCGI assignment and distributed NCGI assignment can be supported.</w:t>
      </w:r>
      <w:r w:rsidR="00BA311B" w:rsidRPr="0033697B">
        <w:rPr>
          <w:rFonts w:ascii="Times New Roman" w:hAnsi="Times New Roman" w:cs="Times New Roman"/>
          <w:szCs w:val="20"/>
        </w:rPr>
        <w:tab/>
      </w:r>
    </w:p>
    <w:bookmarkEnd w:id="1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0B9F8820" w:rsidR="00CD4C7B" w:rsidRDefault="00402EAF" w:rsidP="00CD4C7B">
      <w:r>
        <w:t>In this contribution, w</w:t>
      </w:r>
      <w:r w:rsidR="00ED0D91">
        <w:t>e have made the following proposals:</w:t>
      </w:r>
    </w:p>
    <w:p w14:paraId="7B8BEE0A" w14:textId="77777777" w:rsidR="00E23A30" w:rsidRPr="0033697B" w:rsidRDefault="00E23A30" w:rsidP="00E23A30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Observation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 xml:space="preserve"> 1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, existing signalling already support dynamic TAC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 xml:space="preserve"> in case the IAB-DU’s TAC </w:t>
      </w:r>
      <w:r w:rsidRPr="0036211E">
        <w:rPr>
          <w:rFonts w:ascii="Times New Roman" w:eastAsia="宋体" w:hAnsi="Times New Roman" w:cs="Times New Roman"/>
          <w:b/>
          <w:szCs w:val="20"/>
          <w:lang w:eastAsia="en-US"/>
        </w:rPr>
        <w:t xml:space="preserve">the same or a different value than the TAC of the </w:t>
      </w:r>
      <w:proofErr w:type="spellStart"/>
      <w:r w:rsidRPr="0036211E">
        <w:rPr>
          <w:rFonts w:ascii="Times New Roman" w:eastAsia="宋体" w:hAnsi="Times New Roman" w:cs="Times New Roman"/>
          <w:b/>
          <w:szCs w:val="20"/>
          <w:lang w:eastAsia="en-US"/>
        </w:rPr>
        <w:t>mIAB</w:t>
      </w:r>
      <w:proofErr w:type="spellEnd"/>
      <w:r w:rsidRPr="0036211E">
        <w:rPr>
          <w:rFonts w:ascii="Times New Roman" w:eastAsia="宋体" w:hAnsi="Times New Roman" w:cs="Times New Roman"/>
          <w:b/>
          <w:szCs w:val="20"/>
          <w:lang w:eastAsia="en-US"/>
        </w:rPr>
        <w:t>-MT’s serving cell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. </w:t>
      </w:r>
    </w:p>
    <w:p w14:paraId="4237DF22" w14:textId="77777777" w:rsidR="00E23A30" w:rsidRPr="0033697B" w:rsidRDefault="00E23A30" w:rsidP="00E23A30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>1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, RAN3 conclude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>s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that there is no stage 3 specification work to support dynamic TAC from RAN3 perspective.</w:t>
      </w:r>
    </w:p>
    <w:p w14:paraId="5CAB5740" w14:textId="77777777" w:rsidR="00E23A30" w:rsidRDefault="00E23A30" w:rsidP="00E23A30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>
        <w:rPr>
          <w:rFonts w:ascii="Times New Roman" w:eastAsia="宋体" w:hAnsi="Times New Roman" w:cs="Times New Roman"/>
          <w:b/>
          <w:szCs w:val="20"/>
          <w:lang w:eastAsia="en-US"/>
        </w:rPr>
        <w:t xml:space="preserve">Observation 2, in mobile IAB deployment, there may be multiple moving cells in the network, the NGCI conflict may not be avoided, especially in case the </w:t>
      </w:r>
      <w:r w:rsidRPr="009D39E8">
        <w:rPr>
          <w:rFonts w:ascii="Times New Roman" w:eastAsia="宋体" w:hAnsi="Times New Roman" w:cs="Times New Roman"/>
          <w:b/>
          <w:szCs w:val="20"/>
          <w:lang w:eastAsia="en-US"/>
        </w:rPr>
        <w:t xml:space="preserve">minimum cell number can be assigned to a </w:t>
      </w:r>
      <w:proofErr w:type="spellStart"/>
      <w:r w:rsidRPr="009D39E8">
        <w:rPr>
          <w:rFonts w:ascii="Times New Roman" w:eastAsia="宋体" w:hAnsi="Times New Roman" w:cs="Times New Roman"/>
          <w:b/>
          <w:szCs w:val="20"/>
          <w:lang w:eastAsia="en-US"/>
        </w:rPr>
        <w:t>gNB</w:t>
      </w:r>
      <w:proofErr w:type="spellEnd"/>
      <w:r w:rsidRPr="009D39E8">
        <w:rPr>
          <w:rFonts w:ascii="Times New Roman" w:eastAsia="宋体" w:hAnsi="Times New Roman" w:cs="Times New Roman"/>
          <w:b/>
          <w:szCs w:val="20"/>
          <w:lang w:eastAsia="en-US"/>
        </w:rPr>
        <w:t xml:space="preserve"> is range 0-15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>.</w:t>
      </w:r>
    </w:p>
    <w:p w14:paraId="343F1BC0" w14:textId="77777777" w:rsidR="00E23A30" w:rsidRPr="0033697B" w:rsidRDefault="00E23A30" w:rsidP="00E23A30">
      <w:pPr>
        <w:pStyle w:val="Doc-text2"/>
        <w:spacing w:before="120" w:after="120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>2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, the NCGI for the IAB-node 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>can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 be assigned by OAM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 xml:space="preserve"> or IAB-donor-CU.</w:t>
      </w:r>
    </w:p>
    <w:p w14:paraId="512FBAC9" w14:textId="66E77914" w:rsidR="0033697B" w:rsidRPr="00E23A30" w:rsidRDefault="00E23A30" w:rsidP="0033697B">
      <w:pPr>
        <w:pStyle w:val="Doc-text2"/>
        <w:spacing w:before="120" w:after="120"/>
        <w:ind w:left="0" w:firstLine="0"/>
        <w:rPr>
          <w:rFonts w:ascii="Times New Roman" w:hAnsi="Times New Roman" w:cs="Times New Roman"/>
          <w:szCs w:val="20"/>
        </w:rPr>
      </w:pP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 xml:space="preserve">Proposal 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>3</w:t>
      </w:r>
      <w:r w:rsidRPr="0033697B">
        <w:rPr>
          <w:rFonts w:ascii="Times New Roman" w:eastAsia="宋体" w:hAnsi="Times New Roman" w:cs="Times New Roman"/>
          <w:b/>
          <w:szCs w:val="20"/>
          <w:lang w:eastAsia="en-US"/>
        </w:rPr>
        <w:t>, both centralized NCGI assignment and distributed NCGI assignment can be supported.</w:t>
      </w:r>
      <w:r w:rsidRPr="0033697B">
        <w:rPr>
          <w:rFonts w:ascii="Times New Roman" w:hAnsi="Times New Roman" w:cs="Times New Roman"/>
          <w:szCs w:val="20"/>
        </w:rPr>
        <w:tab/>
      </w:r>
      <w:r w:rsidR="0033697B" w:rsidRPr="0033697B">
        <w:rPr>
          <w:rFonts w:ascii="Times New Roman" w:hAnsi="Times New Roman" w:cs="Times New Roman"/>
          <w:szCs w:val="20"/>
        </w:rPr>
        <w:tab/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BA2BD6A" w14:textId="424517C4" w:rsidR="00080512" w:rsidRPr="00CD4C7B" w:rsidRDefault="00080512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27ADC" w14:textId="77777777" w:rsidR="00F35EC1" w:rsidRDefault="00F35EC1">
      <w:r>
        <w:separator/>
      </w:r>
    </w:p>
  </w:endnote>
  <w:endnote w:type="continuationSeparator" w:id="0">
    <w:p w14:paraId="66744725" w14:textId="77777777" w:rsidR="00F35EC1" w:rsidRDefault="00F3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69C27" w14:textId="77777777" w:rsidR="00F35EC1" w:rsidRDefault="00F35EC1">
      <w:r>
        <w:separator/>
      </w:r>
    </w:p>
  </w:footnote>
  <w:footnote w:type="continuationSeparator" w:id="0">
    <w:p w14:paraId="7E84B45C" w14:textId="77777777" w:rsidR="00F35EC1" w:rsidRDefault="00F35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33312"/>
    <w:multiLevelType w:val="hybridMultilevel"/>
    <w:tmpl w:val="6E7CFEE6"/>
    <w:lvl w:ilvl="0" w:tplc="89424C46">
      <w:start w:val="2"/>
      <w:numFmt w:val="bullet"/>
      <w:lvlText w:val="-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124F4"/>
    <w:multiLevelType w:val="hybridMultilevel"/>
    <w:tmpl w:val="D86ADF86"/>
    <w:lvl w:ilvl="0" w:tplc="666A869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E0A6D"/>
    <w:multiLevelType w:val="hybridMultilevel"/>
    <w:tmpl w:val="E378F186"/>
    <w:lvl w:ilvl="0" w:tplc="256618F6">
      <w:start w:val="2"/>
      <w:numFmt w:val="bullet"/>
      <w:lvlText w:val="-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F422BE"/>
    <w:multiLevelType w:val="hybridMultilevel"/>
    <w:tmpl w:val="7C460C1E"/>
    <w:lvl w:ilvl="0" w:tplc="BFAEE64C">
      <w:numFmt w:val="bullet"/>
      <w:lvlText w:val="-"/>
      <w:lvlJc w:val="left"/>
      <w:pPr>
        <w:ind w:left="10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01C3F"/>
    <w:multiLevelType w:val="hybridMultilevel"/>
    <w:tmpl w:val="5A480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926FD"/>
    <w:multiLevelType w:val="hybridMultilevel"/>
    <w:tmpl w:val="ECB681E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E245D"/>
    <w:multiLevelType w:val="hybridMultilevel"/>
    <w:tmpl w:val="074C55AA"/>
    <w:lvl w:ilvl="0" w:tplc="879618FE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2408C"/>
    <w:multiLevelType w:val="hybridMultilevel"/>
    <w:tmpl w:val="C300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96CE8"/>
    <w:multiLevelType w:val="hybridMultilevel"/>
    <w:tmpl w:val="456EF9EA"/>
    <w:lvl w:ilvl="0" w:tplc="E6A4DD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5DBA"/>
    <w:multiLevelType w:val="hybridMultilevel"/>
    <w:tmpl w:val="F942FD48"/>
    <w:lvl w:ilvl="0" w:tplc="7B58527C">
      <w:start w:val="2022"/>
      <w:numFmt w:val="bullet"/>
      <w:lvlText w:val="-"/>
      <w:lvlJc w:val="left"/>
      <w:pPr>
        <w:ind w:left="63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9"/>
  </w:num>
  <w:num w:numId="6">
    <w:abstractNumId w:val="9"/>
  </w:num>
  <w:num w:numId="7">
    <w:abstractNumId w:val="16"/>
  </w:num>
  <w:num w:numId="8">
    <w:abstractNumId w:val="17"/>
  </w:num>
  <w:num w:numId="9">
    <w:abstractNumId w:val="12"/>
  </w:num>
  <w:num w:numId="10">
    <w:abstractNumId w:val="15"/>
  </w:num>
  <w:num w:numId="11">
    <w:abstractNumId w:val="6"/>
  </w:num>
  <w:num w:numId="12">
    <w:abstractNumId w:val="14"/>
  </w:num>
  <w:num w:numId="13">
    <w:abstractNumId w:val="13"/>
  </w:num>
  <w:num w:numId="14">
    <w:abstractNumId w:val="21"/>
  </w:num>
  <w:num w:numId="15">
    <w:abstractNumId w:val="3"/>
  </w:num>
  <w:num w:numId="16">
    <w:abstractNumId w:val="10"/>
  </w:num>
  <w:num w:numId="17">
    <w:abstractNumId w:val="7"/>
  </w:num>
  <w:num w:numId="18">
    <w:abstractNumId w:val="2"/>
  </w:num>
  <w:num w:numId="19">
    <w:abstractNumId w:val="4"/>
  </w:num>
  <w:num w:numId="20">
    <w:abstractNumId w:val="18"/>
  </w:num>
  <w:num w:numId="21">
    <w:abstractNumId w:val="5"/>
  </w:num>
  <w:num w:numId="22">
    <w:abstractNumId w:val="22"/>
  </w:num>
  <w:num w:numId="23">
    <w:abstractNumId w:val="11"/>
  </w:num>
  <w:num w:numId="24">
    <w:abstractNumId w:val="20"/>
  </w:num>
  <w:num w:numId="2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20B7"/>
    <w:rsid w:val="00021025"/>
    <w:rsid w:val="00033397"/>
    <w:rsid w:val="000342C7"/>
    <w:rsid w:val="0003796B"/>
    <w:rsid w:val="00040095"/>
    <w:rsid w:val="00052035"/>
    <w:rsid w:val="0005563E"/>
    <w:rsid w:val="00062604"/>
    <w:rsid w:val="00080512"/>
    <w:rsid w:val="00083F0D"/>
    <w:rsid w:val="00085143"/>
    <w:rsid w:val="000904E9"/>
    <w:rsid w:val="000B7BCF"/>
    <w:rsid w:val="000C1506"/>
    <w:rsid w:val="000C556D"/>
    <w:rsid w:val="000D376D"/>
    <w:rsid w:val="000D58AB"/>
    <w:rsid w:val="000F0733"/>
    <w:rsid w:val="000F1DB2"/>
    <w:rsid w:val="001075B7"/>
    <w:rsid w:val="001265F8"/>
    <w:rsid w:val="0013213A"/>
    <w:rsid w:val="0013262A"/>
    <w:rsid w:val="001370F2"/>
    <w:rsid w:val="001549DD"/>
    <w:rsid w:val="00155FF2"/>
    <w:rsid w:val="00171C2B"/>
    <w:rsid w:val="0017527C"/>
    <w:rsid w:val="001834CC"/>
    <w:rsid w:val="00190CAC"/>
    <w:rsid w:val="00194CD0"/>
    <w:rsid w:val="001B08B3"/>
    <w:rsid w:val="001B7EB4"/>
    <w:rsid w:val="001C4281"/>
    <w:rsid w:val="001D0D3F"/>
    <w:rsid w:val="001D77D4"/>
    <w:rsid w:val="001E39D1"/>
    <w:rsid w:val="001E6294"/>
    <w:rsid w:val="001F168B"/>
    <w:rsid w:val="001F4A77"/>
    <w:rsid w:val="001F4FE5"/>
    <w:rsid w:val="001F70B7"/>
    <w:rsid w:val="00225F6D"/>
    <w:rsid w:val="0022606D"/>
    <w:rsid w:val="002305DD"/>
    <w:rsid w:val="00243BC7"/>
    <w:rsid w:val="00244585"/>
    <w:rsid w:val="00250D89"/>
    <w:rsid w:val="00252FFD"/>
    <w:rsid w:val="002546FB"/>
    <w:rsid w:val="002623FC"/>
    <w:rsid w:val="00274277"/>
    <w:rsid w:val="002747EC"/>
    <w:rsid w:val="002855BF"/>
    <w:rsid w:val="002868BC"/>
    <w:rsid w:val="002953B2"/>
    <w:rsid w:val="002A19F2"/>
    <w:rsid w:val="002A5A81"/>
    <w:rsid w:val="002C4F5C"/>
    <w:rsid w:val="002D4676"/>
    <w:rsid w:val="002D4F88"/>
    <w:rsid w:val="002E1692"/>
    <w:rsid w:val="002E67D2"/>
    <w:rsid w:val="002F0D22"/>
    <w:rsid w:val="002F2CE8"/>
    <w:rsid w:val="002F5942"/>
    <w:rsid w:val="003172DC"/>
    <w:rsid w:val="003238E8"/>
    <w:rsid w:val="00326069"/>
    <w:rsid w:val="0032608A"/>
    <w:rsid w:val="0033697B"/>
    <w:rsid w:val="00342065"/>
    <w:rsid w:val="003454FC"/>
    <w:rsid w:val="00353B12"/>
    <w:rsid w:val="0035462D"/>
    <w:rsid w:val="0036211E"/>
    <w:rsid w:val="00363177"/>
    <w:rsid w:val="0036587F"/>
    <w:rsid w:val="00366621"/>
    <w:rsid w:val="003702F7"/>
    <w:rsid w:val="00370F20"/>
    <w:rsid w:val="003717A7"/>
    <w:rsid w:val="00376D28"/>
    <w:rsid w:val="00385F81"/>
    <w:rsid w:val="00391022"/>
    <w:rsid w:val="003B3FB3"/>
    <w:rsid w:val="003B5FD6"/>
    <w:rsid w:val="003C4E37"/>
    <w:rsid w:val="003E1194"/>
    <w:rsid w:val="003E16BE"/>
    <w:rsid w:val="003E7223"/>
    <w:rsid w:val="00401855"/>
    <w:rsid w:val="00401D6C"/>
    <w:rsid w:val="00402EAF"/>
    <w:rsid w:val="00406760"/>
    <w:rsid w:val="00422ADB"/>
    <w:rsid w:val="00426394"/>
    <w:rsid w:val="00434A83"/>
    <w:rsid w:val="00441022"/>
    <w:rsid w:val="00455983"/>
    <w:rsid w:val="00464695"/>
    <w:rsid w:val="00493C47"/>
    <w:rsid w:val="004C53DC"/>
    <w:rsid w:val="004C5539"/>
    <w:rsid w:val="004D3578"/>
    <w:rsid w:val="004D380D"/>
    <w:rsid w:val="004D3B71"/>
    <w:rsid w:val="004D3F58"/>
    <w:rsid w:val="004D5E47"/>
    <w:rsid w:val="004D75F7"/>
    <w:rsid w:val="004E0173"/>
    <w:rsid w:val="004E213A"/>
    <w:rsid w:val="004E21FC"/>
    <w:rsid w:val="004E6C01"/>
    <w:rsid w:val="00503171"/>
    <w:rsid w:val="005153FE"/>
    <w:rsid w:val="005210A7"/>
    <w:rsid w:val="005240A4"/>
    <w:rsid w:val="00531C12"/>
    <w:rsid w:val="00534DA0"/>
    <w:rsid w:val="005361A0"/>
    <w:rsid w:val="00540B31"/>
    <w:rsid w:val="00543E6C"/>
    <w:rsid w:val="00544635"/>
    <w:rsid w:val="0055222C"/>
    <w:rsid w:val="0055707E"/>
    <w:rsid w:val="00557E1D"/>
    <w:rsid w:val="005626DD"/>
    <w:rsid w:val="00565087"/>
    <w:rsid w:val="0056573F"/>
    <w:rsid w:val="00565BE9"/>
    <w:rsid w:val="00571CE2"/>
    <w:rsid w:val="0057579F"/>
    <w:rsid w:val="00587958"/>
    <w:rsid w:val="00587DED"/>
    <w:rsid w:val="00590486"/>
    <w:rsid w:val="00593EDF"/>
    <w:rsid w:val="005A4971"/>
    <w:rsid w:val="005B1232"/>
    <w:rsid w:val="005B2EEF"/>
    <w:rsid w:val="005C524F"/>
    <w:rsid w:val="005D0F3B"/>
    <w:rsid w:val="005D4274"/>
    <w:rsid w:val="005E3C56"/>
    <w:rsid w:val="005E60CC"/>
    <w:rsid w:val="005F1BD4"/>
    <w:rsid w:val="005F345E"/>
    <w:rsid w:val="005F6DE2"/>
    <w:rsid w:val="00604F01"/>
    <w:rsid w:val="00605E3E"/>
    <w:rsid w:val="00606DA9"/>
    <w:rsid w:val="00611566"/>
    <w:rsid w:val="00611D47"/>
    <w:rsid w:val="00617F58"/>
    <w:rsid w:val="006327AD"/>
    <w:rsid w:val="0065074F"/>
    <w:rsid w:val="006538D4"/>
    <w:rsid w:val="00656E1E"/>
    <w:rsid w:val="006604E4"/>
    <w:rsid w:val="00673F8A"/>
    <w:rsid w:val="0067782C"/>
    <w:rsid w:val="00693037"/>
    <w:rsid w:val="00697E26"/>
    <w:rsid w:val="006B36A5"/>
    <w:rsid w:val="006B3E5D"/>
    <w:rsid w:val="006C54B5"/>
    <w:rsid w:val="006D1E24"/>
    <w:rsid w:val="00702BDF"/>
    <w:rsid w:val="00727EEA"/>
    <w:rsid w:val="007304F5"/>
    <w:rsid w:val="00730BF3"/>
    <w:rsid w:val="00734A5B"/>
    <w:rsid w:val="00741EC5"/>
    <w:rsid w:val="00743525"/>
    <w:rsid w:val="00744E76"/>
    <w:rsid w:val="007476DB"/>
    <w:rsid w:val="00754AA5"/>
    <w:rsid w:val="00756B13"/>
    <w:rsid w:val="00757D40"/>
    <w:rsid w:val="00763628"/>
    <w:rsid w:val="00767CDA"/>
    <w:rsid w:val="0077054F"/>
    <w:rsid w:val="00774846"/>
    <w:rsid w:val="00776271"/>
    <w:rsid w:val="00781F0F"/>
    <w:rsid w:val="0078727C"/>
    <w:rsid w:val="00797225"/>
    <w:rsid w:val="00797D4B"/>
    <w:rsid w:val="007C095F"/>
    <w:rsid w:val="007C36EF"/>
    <w:rsid w:val="007C4EA9"/>
    <w:rsid w:val="007D321F"/>
    <w:rsid w:val="007D434E"/>
    <w:rsid w:val="007D5902"/>
    <w:rsid w:val="007E0464"/>
    <w:rsid w:val="007E1F12"/>
    <w:rsid w:val="007E4746"/>
    <w:rsid w:val="007F2676"/>
    <w:rsid w:val="007F3B6B"/>
    <w:rsid w:val="007F3F5F"/>
    <w:rsid w:val="007F6177"/>
    <w:rsid w:val="008001D5"/>
    <w:rsid w:val="00802106"/>
    <w:rsid w:val="008028A4"/>
    <w:rsid w:val="00803FA8"/>
    <w:rsid w:val="00806520"/>
    <w:rsid w:val="008121A3"/>
    <w:rsid w:val="0081323E"/>
    <w:rsid w:val="008223CA"/>
    <w:rsid w:val="00822537"/>
    <w:rsid w:val="00830106"/>
    <w:rsid w:val="00840916"/>
    <w:rsid w:val="008415DA"/>
    <w:rsid w:val="00842ABD"/>
    <w:rsid w:val="00853EDD"/>
    <w:rsid w:val="00854174"/>
    <w:rsid w:val="008604EE"/>
    <w:rsid w:val="00865B05"/>
    <w:rsid w:val="0087401D"/>
    <w:rsid w:val="00874AD3"/>
    <w:rsid w:val="008768CA"/>
    <w:rsid w:val="00877B02"/>
    <w:rsid w:val="00880559"/>
    <w:rsid w:val="00886DF6"/>
    <w:rsid w:val="008975A9"/>
    <w:rsid w:val="008A79DE"/>
    <w:rsid w:val="008B7DC7"/>
    <w:rsid w:val="008C0CA2"/>
    <w:rsid w:val="008C2420"/>
    <w:rsid w:val="008C2835"/>
    <w:rsid w:val="008C490B"/>
    <w:rsid w:val="008D799A"/>
    <w:rsid w:val="0090271F"/>
    <w:rsid w:val="00903D8C"/>
    <w:rsid w:val="00904D26"/>
    <w:rsid w:val="00917051"/>
    <w:rsid w:val="00917D1E"/>
    <w:rsid w:val="009321BB"/>
    <w:rsid w:val="00942EC2"/>
    <w:rsid w:val="00943B23"/>
    <w:rsid w:val="00952D8F"/>
    <w:rsid w:val="00954BCB"/>
    <w:rsid w:val="00961B32"/>
    <w:rsid w:val="00962CC8"/>
    <w:rsid w:val="00971683"/>
    <w:rsid w:val="00971F47"/>
    <w:rsid w:val="00972FD7"/>
    <w:rsid w:val="00974BB0"/>
    <w:rsid w:val="009932F2"/>
    <w:rsid w:val="009A6E4F"/>
    <w:rsid w:val="009B36EB"/>
    <w:rsid w:val="009B4F59"/>
    <w:rsid w:val="009C4046"/>
    <w:rsid w:val="009C4D5C"/>
    <w:rsid w:val="009D0A28"/>
    <w:rsid w:val="009D39E8"/>
    <w:rsid w:val="009F3B54"/>
    <w:rsid w:val="009F75AB"/>
    <w:rsid w:val="009F7E6E"/>
    <w:rsid w:val="00A10F02"/>
    <w:rsid w:val="00A13F7D"/>
    <w:rsid w:val="00A2199E"/>
    <w:rsid w:val="00A3295B"/>
    <w:rsid w:val="00A4298B"/>
    <w:rsid w:val="00A53724"/>
    <w:rsid w:val="00A61FEF"/>
    <w:rsid w:val="00A642D7"/>
    <w:rsid w:val="00A64C87"/>
    <w:rsid w:val="00A757D7"/>
    <w:rsid w:val="00A80B02"/>
    <w:rsid w:val="00A82346"/>
    <w:rsid w:val="00A8361A"/>
    <w:rsid w:val="00A9231A"/>
    <w:rsid w:val="00A9671C"/>
    <w:rsid w:val="00AA4B16"/>
    <w:rsid w:val="00AB6AAB"/>
    <w:rsid w:val="00AD4BCF"/>
    <w:rsid w:val="00AF4A8E"/>
    <w:rsid w:val="00AF78D5"/>
    <w:rsid w:val="00B03810"/>
    <w:rsid w:val="00B1063A"/>
    <w:rsid w:val="00B15449"/>
    <w:rsid w:val="00B2047F"/>
    <w:rsid w:val="00B41851"/>
    <w:rsid w:val="00B42422"/>
    <w:rsid w:val="00B503D9"/>
    <w:rsid w:val="00B521D0"/>
    <w:rsid w:val="00B6745D"/>
    <w:rsid w:val="00B71EA5"/>
    <w:rsid w:val="00B9781E"/>
    <w:rsid w:val="00BA0CF6"/>
    <w:rsid w:val="00BA311B"/>
    <w:rsid w:val="00BA6755"/>
    <w:rsid w:val="00BA71FF"/>
    <w:rsid w:val="00BB1499"/>
    <w:rsid w:val="00BC3B22"/>
    <w:rsid w:val="00BD5F05"/>
    <w:rsid w:val="00BE3EDD"/>
    <w:rsid w:val="00BE520D"/>
    <w:rsid w:val="00BF79F1"/>
    <w:rsid w:val="00C03035"/>
    <w:rsid w:val="00C275BC"/>
    <w:rsid w:val="00C33079"/>
    <w:rsid w:val="00C365F1"/>
    <w:rsid w:val="00C43B31"/>
    <w:rsid w:val="00C44740"/>
    <w:rsid w:val="00C50536"/>
    <w:rsid w:val="00C540F1"/>
    <w:rsid w:val="00C55EB7"/>
    <w:rsid w:val="00C605E7"/>
    <w:rsid w:val="00C6148F"/>
    <w:rsid w:val="00C805B8"/>
    <w:rsid w:val="00C80DBF"/>
    <w:rsid w:val="00C866E9"/>
    <w:rsid w:val="00C92571"/>
    <w:rsid w:val="00CA276C"/>
    <w:rsid w:val="00CA3D0C"/>
    <w:rsid w:val="00CB6651"/>
    <w:rsid w:val="00CB6887"/>
    <w:rsid w:val="00CC64B4"/>
    <w:rsid w:val="00CD161C"/>
    <w:rsid w:val="00CD41C2"/>
    <w:rsid w:val="00CD4C7B"/>
    <w:rsid w:val="00CF0575"/>
    <w:rsid w:val="00CF1797"/>
    <w:rsid w:val="00D10E97"/>
    <w:rsid w:val="00D22038"/>
    <w:rsid w:val="00D23014"/>
    <w:rsid w:val="00D45717"/>
    <w:rsid w:val="00D47215"/>
    <w:rsid w:val="00D71B75"/>
    <w:rsid w:val="00D738D6"/>
    <w:rsid w:val="00D764AE"/>
    <w:rsid w:val="00D80795"/>
    <w:rsid w:val="00D80BE8"/>
    <w:rsid w:val="00D82770"/>
    <w:rsid w:val="00D87E00"/>
    <w:rsid w:val="00D908B4"/>
    <w:rsid w:val="00D90D48"/>
    <w:rsid w:val="00D9134D"/>
    <w:rsid w:val="00D97CD9"/>
    <w:rsid w:val="00DA1CA9"/>
    <w:rsid w:val="00DA5329"/>
    <w:rsid w:val="00DA7A03"/>
    <w:rsid w:val="00DB1818"/>
    <w:rsid w:val="00DC1445"/>
    <w:rsid w:val="00DC309B"/>
    <w:rsid w:val="00DC4DA2"/>
    <w:rsid w:val="00DD7028"/>
    <w:rsid w:val="00DE1406"/>
    <w:rsid w:val="00DE532C"/>
    <w:rsid w:val="00DF6BDE"/>
    <w:rsid w:val="00E0084C"/>
    <w:rsid w:val="00E07838"/>
    <w:rsid w:val="00E23A30"/>
    <w:rsid w:val="00E305A4"/>
    <w:rsid w:val="00E340BC"/>
    <w:rsid w:val="00E469E6"/>
    <w:rsid w:val="00E51135"/>
    <w:rsid w:val="00E51F8B"/>
    <w:rsid w:val="00E6028F"/>
    <w:rsid w:val="00E62835"/>
    <w:rsid w:val="00E77645"/>
    <w:rsid w:val="00E852FF"/>
    <w:rsid w:val="00E90ABE"/>
    <w:rsid w:val="00EA1D56"/>
    <w:rsid w:val="00EA22F8"/>
    <w:rsid w:val="00EB4857"/>
    <w:rsid w:val="00EC2F2F"/>
    <w:rsid w:val="00EC4A25"/>
    <w:rsid w:val="00ED0D91"/>
    <w:rsid w:val="00ED1751"/>
    <w:rsid w:val="00ED7F72"/>
    <w:rsid w:val="00EE022B"/>
    <w:rsid w:val="00EE0A1E"/>
    <w:rsid w:val="00EF2DFA"/>
    <w:rsid w:val="00F025A2"/>
    <w:rsid w:val="00F14DCE"/>
    <w:rsid w:val="00F15D36"/>
    <w:rsid w:val="00F2026E"/>
    <w:rsid w:val="00F2210A"/>
    <w:rsid w:val="00F35EC1"/>
    <w:rsid w:val="00F37743"/>
    <w:rsid w:val="00F54114"/>
    <w:rsid w:val="00F54A3D"/>
    <w:rsid w:val="00F60FCC"/>
    <w:rsid w:val="00F61F76"/>
    <w:rsid w:val="00F653B8"/>
    <w:rsid w:val="00F6620F"/>
    <w:rsid w:val="00F76F8F"/>
    <w:rsid w:val="00F8380A"/>
    <w:rsid w:val="00F84F48"/>
    <w:rsid w:val="00FA116A"/>
    <w:rsid w:val="00FA1266"/>
    <w:rsid w:val="00FA2068"/>
    <w:rsid w:val="00FB2BEA"/>
    <w:rsid w:val="00FC1192"/>
    <w:rsid w:val="00FC53BF"/>
    <w:rsid w:val="00FC6713"/>
    <w:rsid w:val="00FF2F2C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sid w:val="00422ADB"/>
    <w:rPr>
      <w:rFonts w:ascii="Arial" w:eastAsia="MS Mincho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7D321F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7D321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7D321F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A757D7"/>
    <w:rPr>
      <w:color w:val="FF0000"/>
      <w:lang w:val="en-GB" w:eastAsia="en-US"/>
    </w:rPr>
  </w:style>
  <w:style w:type="character" w:customStyle="1" w:styleId="B1Char1">
    <w:name w:val="B1 Char1"/>
    <w:rsid w:val="00A757D7"/>
    <w:rPr>
      <w:lang w:val="en-GB" w:eastAsia="en-GB"/>
    </w:rPr>
  </w:style>
  <w:style w:type="paragraph" w:styleId="ac">
    <w:name w:val="caption"/>
    <w:basedOn w:val="a"/>
    <w:next w:val="a"/>
    <w:unhideWhenUsed/>
    <w:qFormat/>
    <w:rsid w:val="0044102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15">
    <w:name w:val="15"/>
    <w:rsid w:val="00376D28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C220A-27E9-4B83-A634-5E9F59B70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2023-05-12T02:36:00Z</dcterms:created>
  <dcterms:modified xsi:type="dcterms:W3CDTF">2023-05-12T06:11:00Z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